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306</w:t>
      </w:r>
    </w:p>
    <w:p>
      <w:r>
        <w:t>Bundesgericht (BGE), 1969-04-25, DE</w:t>
      </w:r>
    </w:p>
    <w:p>
      <w:r>
        <w:rPr>
          <w:b/>
        </w:rPr>
        <w:t xml:space="preserve">Quelle: </w:t>
      </w:r>
      <w:r>
        <w:t>https://mcp.opencaselaw.ch/entscheid/bge_95 II 306</w:t>
      </w:r>
    </w:p>
    <w:p>
      <w:r>
        <w:t>FR: ATF 95 II 306</w:t>
      </w:r>
    </w:p>
    <w:p>
      <w:r>
        <w:t>IT: DTF 95 II 306</w:t>
      </w:r>
    </w:p>
    <w:p>
      <w:pPr>
        <w:pStyle w:val="Heading2"/>
      </w:pPr>
      <w:r>
        <w:t>Regeste</w:t>
      </w:r>
    </w:p>
    <w:p>
      <w:r>
        <w:t>Regeste Genugtuung (Art. 47 OR). Alter und Mitverschulden des Verunfallten bei der Bemessung des Anspruchs der Hinterbliebenen (Erw. 4). Art. 45 Abs. 1 OR. Kein Anspruch auf Ersatz der Kosten des Grabunterhaltes (Bestätigung der Rechtsprechung; Erw. 5).</w:t>
      </w:r>
    </w:p>
    <w:p>
      <w:pPr>
        <w:pStyle w:val="Heading2"/>
      </w:pPr>
      <w:r>
        <w:t>Erwägungen</w:t>
      </w:r>
    </w:p>
    <w:p>
      <w:r>
        <w:rPr>
          <w:b/>
        </w:rPr>
        <w:t>E. 4</w:t>
      </w:r>
    </w:p>
    <w:p>
      <w:r>
        <w:t>Nach Art. 47 OR , auf den Art. 62 SVG verweist, kann der Richter bei Tötung eines Menschen unter Würdigung der besonderen Umstände den Angehörigen des Getöteten eine angemessene Geldsumme als Genugtuung zusprechen. Die Bestimmung der Summe richtet sich nach richterlichem Ermessen. BGE 95 II 306 S. 308 Dabei fällt, obwohl das Gesetz es nicht ausdrücklich sagt, das Verschulden erheblich ins Gewicht (vgl. BGE 90 II 83 Erw. 2 und 190, BGE 91 II 225 ). Die Beklagte behauptet, das Obergericht habe den Klägerinnen zu Unrecht eine Genugtuungssumme zugesprochen, weil Graf den Zusammenstoss selbst verschuldet habe. Die Beklagte geht auch hier von falschen Voraussetzungen aus. Massgebend für die Beurteilung des Verschuldens ist nicht die Beweiswürdigung der Beklagten, sondern die verbindliche Feststellung der Vorinstanz (vgl. dazu Erw. 2). Dass diese mit Rücksicht auf das Verschulden Grafs (35%) den Anspruch der Klägerinnen auf Genugtuung nicht ausgeschlossen, sondern bloss herabgesetzt hat, ist nicht zu beanstanden. Sie weist mit Recht auf die schwere Unbill hin, welche die Klägerinnen durch den plötzlichen Tod ihres Ehemannes und Vaters erlitten haben. Wenn sie in Anbetracht des Alters des Verunfallten und seines Mitverschuldens am Zusammenstoss der Klägerin 1 Fr. 5000.-- (statt Fr. 12'000.--) und der Klägerin 2 Fr. 2000.-- (statt Fr. 5000.--) zugesprochen hat, kann von einer Ermessensüberschreitung nicht die Rede sein.</w:t>
      </w:r>
    </w:p>
    <w:p>
      <w:r>
        <w:rPr>
          <w:b/>
        </w:rPr>
        <w:t>E. 5</w:t>
      </w:r>
    </w:p>
    <w:p>
      <w:r>
        <w:t>Das Obergericht hat die Forderung von Fr. 468.-- für Grabunterhalt abgelehnt, weil es sich dabei um eine Pietätspflicht handle. Diese Auffassung verstösst nach Ansicht der Klägerinnen gegen Art. 45 Abs. 1 OR . Nach der Rechtsprechung gehören zu den Bestattungskosten im Sinne von Art. 45 Abs. 1 OR nur solche Aufwendungen, die mit dem Tod unmittelbar zusammenhangen. Ein solcher unmittelbarer Zusammenhang ist bei den Kosten des Grabunterhaltes, die erst später, im Verlaufe der Zeit entstehen, offenbar nicht gegeben. Der Grabunterhalt ist in erster Linie eine Pietätspflicht der Angehörigen, so dass damit ein Ersatzanspruch gegen einen Dritten, der den Tod des Verstorbenen zu verantworten hat, unvereinbar ist ( BGE 65 II 254 und die dort erwähnten Entscheide). Der Einwand der Klägerinnen, mit der gleichen Begründung könnten Ersatzansprüche für Todesanzeigen, Beerdigungskosten, Grabmal usw. abgewiesen werden, trifft nicht zu. Gewiss spielen auch bei diesen Auslagen die Pietätsgefühle der Angehörigen eine Rolle. Sie hangen aber mit dem Tod unmittelbar zusammen und entstehen nicht erst später.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